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«Геноцид советского народа» закреплен законодательно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21.04.2025 № 74-ФЗ «Об увековечении памяти жертв геноцида советского народа в период Великой Отечественной войны 1941 - 1945 годов» (далее – Федеральный закон) урегулированы вопросы увековечения памяти жертв геноцида советского народа в годы Великой Отечественной войны 1941 - 1945 годов (далее - жертв геноцида).</w:t>
      </w:r>
    </w:p>
    <w:p w14:paraId="04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и организации мероприятий по увековечению памяти жертв геноцида предусмотрено создание федерального органа исполнительной власти, уполномоченного по увековечению памяти жертв геноцида (далее - федеральный уполномоченный орган), а также определение Правительством Российской Федерации по представлению указанного федерального органа некоммерческой организации, которая будет осуществлять функцию национального оператора по обеспечению деятельности по увековечению памяти жертв геноцида и координацию выполнения мероприятий по обеспечению поисковой работы и захоронению (перезахоронению) останков жертв геноцида советского народа на территории Российской Федерации.</w:t>
      </w:r>
    </w:p>
    <w:p w14:paraId="05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деятельности национального оператора, включая его взаимодействие с органами публичной власти, гражданским сообществом по увековечению памяти жертв геноцида и особенности ее организации, устанавливаются Правительством Российской Федерации.</w:t>
      </w:r>
    </w:p>
    <w:p w14:paraId="06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установлены формы увековечения памяти жертв геноцида, к которым, в частности, отнесены: захоронение и перезахоронение останков жертв геноцида, сохранение и благоустройство их захоронений, установка мемориальных сооружений и объектов, увековечивающих их память; проведение поисковой работы, установление и сохранение имен жертв геноцида; публикация в СМИ, книжных изданиях и размещение в сети "Интернет" материалов о геноциде советского народа; проведение научных исследований.</w:t>
      </w:r>
    </w:p>
    <w:p w14:paraId="07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егламентирован порядок захоронения (перезахоронения) останков жертв геноцида и отнесения мест погребения к таким захоронениям.</w:t>
      </w:r>
    </w:p>
    <w:p w14:paraId="08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захоронение (перезахоронение) отмеченных останков организуют и проводят уполномоченные органы государственной власти субъектов Российской Федерации, тогда как отнесение мест погребения к захоронениям останков жертв геноцида определяется национальным оператором по увековечению памяти жертв геноцида в порядке, установленном федеральным органом исполнительной власти, уполномоченным по увековечению памяти жертв геноцида.</w:t>
      </w:r>
    </w:p>
    <w:p w14:paraId="09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Статьей 3 Федерального закона к таким захоронениям отнесены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объектами, а также братские и индивидуальные могилы на общих кладбищах и вне кладбищ, колумбарии и урны с прахом жертв геноцида.</w:t>
      </w:r>
    </w:p>
    <w:p w14:paraId="0A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регламентируется поисковая работа и определяются ответственные за ее организацию и проведение, которыми выступают </w:t>
      </w:r>
      <w:r>
        <w:rPr>
          <w:rFonts w:ascii="Times New Roman" w:hAnsi="Times New Roman"/>
          <w:sz w:val="28"/>
        </w:rPr>
        <w:t>общественно-государственные и общественные объединения, уполномоченные на проведение такой работы.</w:t>
      </w:r>
    </w:p>
    <w:p w14:paraId="0B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стан</w:t>
      </w:r>
      <w:r>
        <w:rPr>
          <w:rFonts w:ascii="Times New Roman" w:hAnsi="Times New Roman"/>
          <w:sz w:val="28"/>
        </w:rPr>
        <w:t>овлен</w:t>
      </w:r>
      <w:r>
        <w:rPr>
          <w:rFonts w:ascii="Times New Roman" w:hAnsi="Times New Roman"/>
          <w:sz w:val="28"/>
        </w:rPr>
        <w:t xml:space="preserve"> запрет на проведение поисковой работы в порядке самодеятельной инициативы.</w:t>
      </w:r>
    </w:p>
    <w:p w14:paraId="0C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устанавливается комплекс новых полномочий органов публичной власти.</w:t>
      </w:r>
    </w:p>
    <w:p w14:paraId="0D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государственной власти субъектов Российской Федерации </w:t>
      </w:r>
      <w:r>
        <w:rPr>
          <w:rFonts w:ascii="Times New Roman" w:hAnsi="Times New Roman"/>
          <w:sz w:val="28"/>
        </w:rPr>
        <w:t xml:space="preserve">наделены полномочиями по </w:t>
      </w:r>
      <w:r>
        <w:rPr>
          <w:rFonts w:ascii="Times New Roman" w:hAnsi="Times New Roman"/>
          <w:sz w:val="28"/>
        </w:rPr>
        <w:t>разработк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нормативных правовых актов в сфере увековечения памяти жертв геноцида; осуществлени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мероприятий по увековечению памяти жертв геноцида, принятие решения о захоронении непогребенных их останков и (или) решения о перемещении захоронений таких останков; обеспечени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проведения всех необходимых мероприятий по их захоронению (перезахоронению); взаимодействи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с федеральными органами государственной власти, органами местного самоуправления, национальным оператором и объединениями по вопросам увековечения памяти жертв геноцида.</w:t>
      </w:r>
    </w:p>
    <w:p w14:paraId="0E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6 Федерального закона государственный учет, ответственность за содержание в надлежащем состоянии захоронений останков жертв геноцида на территориях субъектов Российской Федерации, а также установка информационных надписей и обозначений на них возлагаются на органы местного самоуправления.</w:t>
      </w:r>
    </w:p>
    <w:p w14:paraId="0F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государственного учета и паспортизации захоронений останков жертв геноцида устанавливается федеральным органом исполнительной власти, уполномоченным по увековечению памяти жертв геноцида советского народа.</w:t>
      </w:r>
    </w:p>
    <w:p w14:paraId="10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части 1 статьи 15 Федерального закона расходы на проведение мероприятий, связанных с увековечением памяти жертв геноцида,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соответствующих органов власти, а также за счет добровольных взносов и пожертвований юридических и физических лиц.</w:t>
      </w:r>
    </w:p>
    <w:p w14:paraId="11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на проведение осуществляемых федеральным уполномоченным органом мероприятий, связанных с увековечением памяти жертв геноцида советского народа, финансируются из федерального бюджета.</w:t>
      </w:r>
    </w:p>
    <w:p w14:paraId="12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рядок материально-технического обеспечения указанных мероприятий устанавливается Правительством Российской Федерации.</w:t>
      </w:r>
    </w:p>
    <w:p w14:paraId="13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вступает в силу с 1 января 2026 года.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изложенного, </w:t>
      </w:r>
      <w:r>
        <w:rPr>
          <w:rFonts w:ascii="Times New Roman" w:hAnsi="Times New Roman"/>
          <w:sz w:val="28"/>
        </w:rPr>
        <w:t>прокуратурой республики предложено</w:t>
      </w:r>
      <w:r>
        <w:rPr>
          <w:rFonts w:ascii="Times New Roman" w:hAnsi="Times New Roman"/>
          <w:sz w:val="28"/>
        </w:rPr>
        <w:t xml:space="preserve"> принять меры по совершенствованию региональной нормативной базы в соответствии с вышеуказанными изменениями федерального законодательства.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r>
        <w:rPr>
          <w:rFonts w:ascii="Times New Roman" w:hAnsi="Times New Roman"/>
          <w:sz w:val="28"/>
        </w:rPr>
        <w:t>Прокуратура Баксанского района</w:t>
      </w:r>
    </w:p>
    <w:sectPr>
      <w:pgSz w:h="16838" w:orient="portrait" w:w="11906"/>
      <w:pgMar w:bottom="1134" w:footer="708" w:gutter="0" w:header="708" w:left="1418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2025-05-29T07:29:00Z</dcterms:created>
  <dcterms:modified xsi:type="dcterms:W3CDTF">2025-12-22T12:04:07Z</dcterms:modified>
</cp:coreProperties>
</file>