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района проведена проверка соблюдения образовательными организациями требований законодательства в сфере соблюдения прав инвалидов.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надзорных мероприятий установлено отсутствие в образовательных организациях района мест для парковки специальных автотранспортных средств инвалидов с обозначенными специальными знаками и продублированным знаком на вертикальной поверхности.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прокуратурой района в адрес образовательных учреждений Баксанского муниципального района внесены представления, рассмотрение которого контролируется надзорным ведомством.</w:t>
      </w:r>
    </w:p>
    <w:sectPr>
      <w:headerReference r:id="rId1" w:type="default"/>
      <w:footerReference r:id="rId2" w:type="first"/>
      <w:pgSz w:h="16838" w:orient="portrait" w:w="11906"/>
      <w:pgMar w:bottom="851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14:paraId="04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List Paragraph"/>
    <w:basedOn w:val="Style_4"/>
    <w:link w:val="Style_27_ch"/>
    <w:pPr>
      <w:ind w:firstLine="0" w:left="720"/>
      <w:contextualSpacing w:val="1"/>
    </w:pPr>
  </w:style>
  <w:style w:styleId="Style_27_ch" w:type="character">
    <w:name w:val="List Paragraph"/>
    <w:basedOn w:val="Style_4_ch"/>
    <w:link w:val="Style_27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2025-12-19T10:53:05Z</dcterms:modified>
</cp:coreProperties>
</file>