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745" w:rsidRPr="005B3325" w:rsidRDefault="00A66745" w:rsidP="00A66745">
      <w:pPr>
        <w:spacing w:after="0" w:line="240" w:lineRule="atLeast"/>
        <w:ind w:left="426" w:right="491"/>
        <w:jc w:val="right"/>
        <w:rPr>
          <w:rFonts w:ascii="Times New Roman" w:hAnsi="Times New Roman" w:cs="Times New Roman"/>
          <w:color w:val="auto"/>
          <w:lang w:val="ru-RU"/>
        </w:rPr>
      </w:pPr>
      <w:r w:rsidRPr="005B3325">
        <w:rPr>
          <w:rFonts w:ascii="Times New Roman" w:eastAsia="Times New Roman" w:hAnsi="Times New Roman" w:cs="Times New Roman"/>
          <w:color w:val="auto"/>
          <w:sz w:val="28"/>
          <w:lang w:val="ru-RU"/>
        </w:rPr>
        <w:t>Приложение</w:t>
      </w:r>
    </w:p>
    <w:p w:rsidR="00A66745" w:rsidRDefault="00A66745" w:rsidP="00A66745">
      <w:pPr>
        <w:spacing w:after="0" w:line="240" w:lineRule="atLeast"/>
        <w:ind w:left="426" w:right="349"/>
        <w:jc w:val="center"/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</w:pPr>
    </w:p>
    <w:p w:rsidR="00A66745" w:rsidRDefault="00A66745" w:rsidP="00A66745">
      <w:pPr>
        <w:spacing w:after="0" w:line="240" w:lineRule="atLeast"/>
        <w:ind w:left="426" w:right="349"/>
        <w:jc w:val="center"/>
        <w:rPr>
          <w:lang w:val="ru-RU"/>
        </w:rPr>
      </w:pPr>
      <w:r w:rsidRPr="00845038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Соответствие </w:t>
      </w:r>
      <w:r w:rsidR="001646FB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Баксанского муниципального района</w:t>
      </w:r>
      <w:r w:rsidRPr="00942BCD">
        <w:rPr>
          <w:lang w:val="ru-RU"/>
        </w:rPr>
        <w:t xml:space="preserve"> </w:t>
      </w:r>
    </w:p>
    <w:p w:rsidR="00A66745" w:rsidRDefault="00A66745" w:rsidP="00A66745">
      <w:pPr>
        <w:spacing w:after="0" w:line="240" w:lineRule="atLeast"/>
        <w:ind w:left="426" w:right="349"/>
        <w:jc w:val="center"/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</w:pPr>
      <w:r w:rsidRPr="00942BCD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Кабардино-Балкарской Республики</w:t>
      </w:r>
      <w:r w:rsidRPr="00845038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м</w:t>
      </w:r>
      <w:r w:rsidRPr="00845038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етодическим рекомендациям, </w:t>
      </w:r>
    </w:p>
    <w:p w:rsidR="00A66745" w:rsidRDefault="00A66745" w:rsidP="00A66745">
      <w:pPr>
        <w:spacing w:after="0" w:line="240" w:lineRule="atLeast"/>
        <w:ind w:left="426" w:right="349"/>
        <w:jc w:val="center"/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</w:pPr>
      <w:r w:rsidRPr="00845038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утвержд</w:t>
      </w: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ё</w:t>
      </w:r>
      <w:r w:rsidRPr="00845038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нным приказом Минэкономразвития России от 26 сентября 2023 года № 672</w:t>
      </w: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 (Приказ)</w:t>
      </w:r>
    </w:p>
    <w:p w:rsidR="00A66745" w:rsidRPr="00845038" w:rsidRDefault="00A66745" w:rsidP="00A66745">
      <w:pPr>
        <w:spacing w:after="0" w:line="240" w:lineRule="atLeast"/>
        <w:ind w:left="426" w:right="349"/>
        <w:jc w:val="center"/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</w:pPr>
    </w:p>
    <w:p w:rsidR="00A66745" w:rsidRPr="005B3325" w:rsidRDefault="00A66745" w:rsidP="00A66745">
      <w:pPr>
        <w:spacing w:after="0" w:line="240" w:lineRule="atLeast"/>
        <w:ind w:hanging="360"/>
        <w:jc w:val="center"/>
        <w:rPr>
          <w:rFonts w:ascii="Times New Roman" w:hAnsi="Times New Roman" w:cs="Times New Roman"/>
          <w:color w:val="auto"/>
          <w:lang w:val="ru-RU"/>
        </w:rPr>
      </w:pPr>
    </w:p>
    <w:tbl>
      <w:tblPr>
        <w:tblW w:w="15453" w:type="dxa"/>
        <w:tblInd w:w="-288" w:type="dxa"/>
        <w:tblCellMar>
          <w:top w:w="45" w:type="dxa"/>
          <w:left w:w="83" w:type="dxa"/>
          <w:right w:w="88" w:type="dxa"/>
        </w:tblCellMar>
        <w:tblLook w:val="04A0" w:firstRow="1" w:lastRow="0" w:firstColumn="1" w:lastColumn="0" w:noHBand="0" w:noVBand="1"/>
      </w:tblPr>
      <w:tblGrid>
        <w:gridCol w:w="764"/>
        <w:gridCol w:w="6284"/>
        <w:gridCol w:w="1498"/>
        <w:gridCol w:w="6907"/>
      </w:tblGrid>
      <w:tr w:rsidR="00A66745" w:rsidRPr="00B52AE6" w:rsidTr="00812F67">
        <w:trPr>
          <w:trHeight w:val="838"/>
          <w:tblHeader/>
        </w:trPr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6745" w:rsidRPr="0084409F" w:rsidRDefault="00A66745" w:rsidP="005775BC">
            <w:pPr>
              <w:spacing w:after="0" w:line="240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52AE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п/п</w:t>
            </w:r>
          </w:p>
        </w:tc>
        <w:tc>
          <w:tcPr>
            <w:tcW w:w="6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6745" w:rsidRDefault="00A66745" w:rsidP="005775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A66745" w:rsidRDefault="00A66745" w:rsidP="005775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Положения Методических рекомендаций </w:t>
            </w:r>
          </w:p>
          <w:p w:rsidR="00A66745" w:rsidRPr="00882776" w:rsidRDefault="00A66745" w:rsidP="005775B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(минимальные требования к муниципальным образованиям)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6745" w:rsidRDefault="00A66745" w:rsidP="005775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A66745" w:rsidRDefault="00A66745" w:rsidP="005775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Имеется/</w:t>
            </w:r>
          </w:p>
          <w:p w:rsidR="00A66745" w:rsidRDefault="00A66745" w:rsidP="005775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не имеется</w:t>
            </w:r>
          </w:p>
          <w:p w:rsidR="00A66745" w:rsidRPr="00B52AE6" w:rsidRDefault="00A66745" w:rsidP="005775B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6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6745" w:rsidRDefault="00A66745" w:rsidP="005775B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A66745" w:rsidRPr="00B52AE6" w:rsidRDefault="00A66745" w:rsidP="005775B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Статус исполнения</w:t>
            </w:r>
          </w:p>
        </w:tc>
      </w:tr>
      <w:tr w:rsidR="00A66745" w:rsidRPr="003D6062" w:rsidTr="00812F67">
        <w:trPr>
          <w:trHeight w:val="561"/>
        </w:trPr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6745" w:rsidRPr="00B52AE6" w:rsidRDefault="00A66745" w:rsidP="005775B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2A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6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6745" w:rsidRPr="00B52AE6" w:rsidRDefault="00A66745" w:rsidP="005775BC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52A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Формирование </w:t>
            </w:r>
            <w:r w:rsidRPr="00B52AE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раздела </w:t>
            </w:r>
            <w:r w:rsidRPr="00B52A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 сфере </w:t>
            </w:r>
            <w:r w:rsidRPr="00B52AE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инвестиционной деятельности </w:t>
            </w:r>
            <w:r w:rsidRPr="00B52A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на информационном ресурсе муниципального образования в сети «Интернет»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6745" w:rsidRPr="00B52AE6" w:rsidRDefault="001646FB" w:rsidP="005775B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имеется</w:t>
            </w:r>
          </w:p>
        </w:tc>
        <w:tc>
          <w:tcPr>
            <w:tcW w:w="6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6745" w:rsidRDefault="00A66745" w:rsidP="005775B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Ссылка на раздел </w:t>
            </w:r>
            <w:r w:rsidRPr="00B52A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в сети «Интернет»</w:t>
            </w:r>
          </w:p>
          <w:p w:rsidR="00A66745" w:rsidRPr="003D6062" w:rsidRDefault="00A66745" w:rsidP="005775BC">
            <w:pPr>
              <w:spacing w:after="0" w:line="240" w:lineRule="atLeast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  <w:t>(пункт 2 Приказа)</w:t>
            </w:r>
          </w:p>
        </w:tc>
      </w:tr>
      <w:tr w:rsidR="00A66745" w:rsidRPr="003D6062" w:rsidTr="00812F67">
        <w:trPr>
          <w:trHeight w:val="379"/>
        </w:trPr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6745" w:rsidRPr="003D6062" w:rsidRDefault="00A66745" w:rsidP="005775B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3D60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2.</w:t>
            </w:r>
          </w:p>
        </w:tc>
        <w:tc>
          <w:tcPr>
            <w:tcW w:w="6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6745" w:rsidRPr="00B52AE6" w:rsidRDefault="00A66745" w:rsidP="005775BC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52A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Наличие </w:t>
            </w:r>
            <w:r w:rsidRPr="00B52AE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инвестиционного профиля </w:t>
            </w:r>
            <w:r w:rsidRPr="00B52A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муниципального образования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6745" w:rsidRPr="00B52AE6" w:rsidRDefault="001646FB" w:rsidP="005775B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исеется</w:t>
            </w:r>
            <w:proofErr w:type="spellEnd"/>
          </w:p>
        </w:tc>
        <w:tc>
          <w:tcPr>
            <w:tcW w:w="6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6745" w:rsidRDefault="00A66745" w:rsidP="005775B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Ссылка на раздел </w:t>
            </w:r>
            <w:r w:rsidRPr="00B52A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в сети «Интернет»</w:t>
            </w:r>
          </w:p>
          <w:p w:rsidR="00A66745" w:rsidRPr="00B52AE6" w:rsidRDefault="00A66745" w:rsidP="005775BC">
            <w:pPr>
              <w:spacing w:after="0" w:line="240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  <w:t>(пункты 3-6 Приказа)</w:t>
            </w:r>
          </w:p>
        </w:tc>
      </w:tr>
      <w:tr w:rsidR="00A66745" w:rsidRPr="001646FB" w:rsidTr="00812F67">
        <w:trPr>
          <w:trHeight w:val="562"/>
        </w:trPr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6745" w:rsidRPr="003D6062" w:rsidRDefault="00A66745" w:rsidP="005775B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3D60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3.</w:t>
            </w:r>
          </w:p>
        </w:tc>
        <w:tc>
          <w:tcPr>
            <w:tcW w:w="6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6745" w:rsidRPr="00B52AE6" w:rsidRDefault="00A66745" w:rsidP="005775BC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52A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Наличие </w:t>
            </w:r>
            <w:r w:rsidRPr="00B52AE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инвестиционного уполномоченного </w:t>
            </w:r>
            <w:r w:rsidRPr="00B52A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в должности не ниже заместителя главы местной администрации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6745" w:rsidRPr="00B52AE6" w:rsidRDefault="001646FB" w:rsidP="005775B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имеется</w:t>
            </w:r>
          </w:p>
        </w:tc>
        <w:tc>
          <w:tcPr>
            <w:tcW w:w="6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6745" w:rsidRPr="004E2956" w:rsidRDefault="00A66745" w:rsidP="005775BC">
            <w:pPr>
              <w:spacing w:after="0" w:line="240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4E295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Ф. И. О., должность</w:t>
            </w:r>
          </w:p>
          <w:p w:rsidR="00A66745" w:rsidRPr="004E2956" w:rsidRDefault="00A66745" w:rsidP="005775BC">
            <w:pPr>
              <w:spacing w:after="0" w:line="240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4E2956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  <w:t>пункт</w:t>
            </w:r>
            <w:r w:rsidRPr="004E2956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  <w:t xml:space="preserve"> 7 Приказа)</w:t>
            </w:r>
          </w:p>
        </w:tc>
      </w:tr>
      <w:tr w:rsidR="00A66745" w:rsidRPr="00812F67" w:rsidTr="00812F67">
        <w:trPr>
          <w:trHeight w:val="286"/>
        </w:trPr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6745" w:rsidRPr="00721DD3" w:rsidRDefault="00A66745" w:rsidP="005775B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21D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4.</w:t>
            </w:r>
          </w:p>
        </w:tc>
        <w:tc>
          <w:tcPr>
            <w:tcW w:w="6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6745" w:rsidRPr="00B52AE6" w:rsidRDefault="00A66745" w:rsidP="005775BC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52A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Наличие </w:t>
            </w:r>
            <w:r w:rsidRPr="00B52AE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совещательного органа </w:t>
            </w:r>
            <w:r w:rsidRPr="00B52A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при главе местной администрации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6745" w:rsidRPr="00B52AE6" w:rsidRDefault="001646FB" w:rsidP="005775B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имеется</w:t>
            </w:r>
          </w:p>
        </w:tc>
        <w:tc>
          <w:tcPr>
            <w:tcW w:w="6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6745" w:rsidRDefault="00A66745" w:rsidP="005775B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Нормативный акт </w:t>
            </w:r>
            <w:r w:rsidRPr="00B52A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местной администрации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о</w:t>
            </w:r>
            <w:r w:rsidRPr="00B52A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Совете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при главе местной администрации</w:t>
            </w:r>
            <w:r w:rsidRPr="00B52A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по инвестициям и </w:t>
            </w:r>
            <w:r w:rsidR="00812F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п</w:t>
            </w:r>
            <w:r w:rsidRPr="00B52A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редпринимательству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3D60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(номер, дата)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. Актуальность состава.</w:t>
            </w:r>
            <w:r w:rsidRPr="00B52A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  <w:p w:rsidR="00A66745" w:rsidRPr="00B52AE6" w:rsidRDefault="00A66745" w:rsidP="005775BC">
            <w:pPr>
              <w:spacing w:after="0" w:line="240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  <w:t>(пункты 8-9 Приказа)</w:t>
            </w:r>
          </w:p>
        </w:tc>
      </w:tr>
      <w:tr w:rsidR="00A66745" w:rsidRPr="003D6062" w:rsidTr="00812F67">
        <w:trPr>
          <w:trHeight w:val="838"/>
        </w:trPr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6745" w:rsidRPr="00B52AE6" w:rsidRDefault="00A66745" w:rsidP="005775B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52A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5.</w:t>
            </w:r>
          </w:p>
        </w:tc>
        <w:tc>
          <w:tcPr>
            <w:tcW w:w="6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6745" w:rsidRPr="00B52AE6" w:rsidRDefault="00A66745" w:rsidP="005775BC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52A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Наличие раздела с информацией о реализации инвестиционных проектов на территории муниципального образования в </w:t>
            </w:r>
            <w:r w:rsidRPr="00B52AE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документе стратегического планирования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6745" w:rsidRPr="00B52AE6" w:rsidRDefault="001646FB" w:rsidP="005775B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На стадии утверждения</w:t>
            </w:r>
          </w:p>
        </w:tc>
        <w:tc>
          <w:tcPr>
            <w:tcW w:w="6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6745" w:rsidRDefault="00A66745" w:rsidP="005775BC">
            <w:pPr>
              <w:spacing w:after="0" w:line="240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Нормативный акт</w:t>
            </w:r>
            <w:r w:rsidRPr="00B52A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местной администрации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о</w:t>
            </w:r>
            <w:r w:rsidRPr="00AB3B4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 утверждении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документа стратегического планирования</w:t>
            </w:r>
            <w:r w:rsidRPr="00AB3B4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(</w:t>
            </w:r>
            <w:r w:rsidRPr="00AB3B4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стратегии социально-экономического развития муниципального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образования, </w:t>
            </w:r>
            <w:r w:rsidRPr="003D606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номер, дата)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 Актуальность.</w:t>
            </w:r>
          </w:p>
          <w:p w:rsidR="00A66745" w:rsidRPr="00B52AE6" w:rsidRDefault="00A66745" w:rsidP="005775BC">
            <w:pPr>
              <w:spacing w:after="0" w:line="240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  <w:t>(пункты 10-11 Приказа)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</w:tr>
      <w:tr w:rsidR="00A66745" w:rsidRPr="003D6062" w:rsidTr="00812F67">
        <w:trPr>
          <w:trHeight w:val="421"/>
        </w:trPr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6745" w:rsidRPr="00B52AE6" w:rsidRDefault="00A66745" w:rsidP="005775B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2A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6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6745" w:rsidRPr="00B52AE6" w:rsidRDefault="00A66745" w:rsidP="005775BC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52A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Наличие </w:t>
            </w:r>
            <w:r w:rsidRPr="00B52AE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регламента сопровождения инвестиционных проектов</w:t>
            </w:r>
            <w:r w:rsidRPr="00B52A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, разъясняющего схему взаимодействия инвестора с органами местного самоуправления муниципального образования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6745" w:rsidRPr="00B52AE6" w:rsidRDefault="001646FB" w:rsidP="005775B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имеется</w:t>
            </w:r>
          </w:p>
        </w:tc>
        <w:tc>
          <w:tcPr>
            <w:tcW w:w="6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6745" w:rsidRDefault="00A66745" w:rsidP="005775B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Нормативный акт</w:t>
            </w:r>
            <w:r w:rsidRPr="00B52A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местной администрации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об утверждении р</w:t>
            </w:r>
            <w:r w:rsidRPr="00721D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егламента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A64D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сопровождения инвестиционных проектов</w:t>
            </w:r>
            <w:r w:rsidRPr="00721D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и </w:t>
            </w:r>
            <w:r w:rsidRPr="00721D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взаимодействия инвестора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с органами местного самоуправления</w:t>
            </w:r>
            <w:r w:rsidRPr="00721D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C84F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(номер, дата)</w:t>
            </w:r>
          </w:p>
          <w:p w:rsidR="00A66745" w:rsidRPr="00B52AE6" w:rsidRDefault="00A66745" w:rsidP="005775BC">
            <w:pPr>
              <w:spacing w:after="0" w:line="240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  <w:t>(пункт 12 Приказа)</w:t>
            </w:r>
          </w:p>
        </w:tc>
      </w:tr>
      <w:tr w:rsidR="00A66745" w:rsidRPr="001646FB" w:rsidTr="00812F67">
        <w:trPr>
          <w:trHeight w:val="473"/>
        </w:trPr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6745" w:rsidRPr="00B52AE6" w:rsidRDefault="00A66745" w:rsidP="005775B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2A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6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6745" w:rsidRPr="00B52AE6" w:rsidRDefault="00A66745" w:rsidP="005775BC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52A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Наличие утвержденных </w:t>
            </w:r>
            <w:r w:rsidRPr="00B52AE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показателей эффективности деятельности </w:t>
            </w:r>
            <w:r w:rsidRPr="00B52A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главы местной администрации и инвестиционного уполномоченного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6745" w:rsidRPr="00B52AE6" w:rsidRDefault="00A66745" w:rsidP="005775B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Имеется </w:t>
            </w:r>
          </w:p>
        </w:tc>
        <w:tc>
          <w:tcPr>
            <w:tcW w:w="6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6745" w:rsidRPr="00B52AE6" w:rsidRDefault="00A66745" w:rsidP="005775BC">
            <w:pPr>
              <w:spacing w:after="0" w:line="240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21DD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Указ Главы КБР от 11.06.2013 № 85-УГ «О мерах по реализации в КБР Указа Президента РФ от 28.04.2008 № 607 «Об оценке эффективности деятельности ОМСУ городских округов и муниципальных районов»</w:t>
            </w:r>
          </w:p>
        </w:tc>
      </w:tr>
      <w:tr w:rsidR="00A66745" w:rsidRPr="003D6062" w:rsidTr="00812F67">
        <w:trPr>
          <w:trHeight w:val="255"/>
        </w:trPr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6745" w:rsidRPr="00B52AE6" w:rsidRDefault="00A66745" w:rsidP="005775B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2A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8.</w:t>
            </w:r>
          </w:p>
        </w:tc>
        <w:tc>
          <w:tcPr>
            <w:tcW w:w="6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6745" w:rsidRPr="00B52AE6" w:rsidRDefault="00A66745" w:rsidP="005775BC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52A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Наличие </w:t>
            </w:r>
            <w:r w:rsidRPr="00B52AE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механизма обратной связи </w:t>
            </w:r>
            <w:r w:rsidRPr="00B52A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между инвесторами и местной администрацией (главой местной администрации, инвестиционным уполномоченным, ответственными сотрудниками)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6745" w:rsidRPr="00B52AE6" w:rsidRDefault="001646FB" w:rsidP="005775B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имеется</w:t>
            </w:r>
          </w:p>
        </w:tc>
        <w:tc>
          <w:tcPr>
            <w:tcW w:w="6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6745" w:rsidRPr="00626044" w:rsidRDefault="00A66745" w:rsidP="005775B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6260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Ссылка </w:t>
            </w:r>
            <w:r w:rsidRPr="006260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 сети «Интернет» </w:t>
            </w:r>
          </w:p>
          <w:p w:rsidR="00A66745" w:rsidRPr="00626044" w:rsidRDefault="00A66745" w:rsidP="005775BC">
            <w:pPr>
              <w:spacing w:after="0" w:line="240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6260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(н</w:t>
            </w:r>
            <w:r w:rsidRPr="006260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 официальном сайте местной администрации должен быть реализован механизм обратной связи для инвесторов,)</w:t>
            </w:r>
          </w:p>
          <w:p w:rsidR="00A66745" w:rsidRPr="00626044" w:rsidRDefault="00A66745" w:rsidP="005775BC">
            <w:pPr>
              <w:spacing w:after="0" w:line="240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  <w:t>(пункт 14 Приказа)</w:t>
            </w:r>
          </w:p>
        </w:tc>
      </w:tr>
      <w:tr w:rsidR="00A66745" w:rsidRPr="003D6062" w:rsidTr="00812F67">
        <w:trPr>
          <w:trHeight w:val="605"/>
        </w:trPr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6745" w:rsidRPr="00B52AE6" w:rsidRDefault="00A66745" w:rsidP="005775B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2A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9.</w:t>
            </w:r>
          </w:p>
        </w:tc>
        <w:tc>
          <w:tcPr>
            <w:tcW w:w="6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6745" w:rsidRPr="00B52AE6" w:rsidRDefault="00A66745" w:rsidP="005775BC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52A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Прохождение ответственными сотрудниками местной администрации обучающих программ и профессиональной переподготовки по инвестиционной тематике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6745" w:rsidRPr="00B52AE6" w:rsidRDefault="001646FB" w:rsidP="005775B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Не имеется</w:t>
            </w:r>
          </w:p>
        </w:tc>
        <w:tc>
          <w:tcPr>
            <w:tcW w:w="6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6745" w:rsidRDefault="00A66745" w:rsidP="005775BC">
            <w:pPr>
              <w:pStyle w:val="a3"/>
              <w:spacing w:before="0" w:beforeAutospacing="0" w:after="0" w:afterAutospacing="0" w:line="240" w:lineRule="atLeast"/>
            </w:pPr>
            <w:r>
              <w:t xml:space="preserve">Прохождение </w:t>
            </w:r>
            <w:r w:rsidRPr="00491457">
              <w:t>на регулярной основе профессиональн</w:t>
            </w:r>
            <w:r>
              <w:t>ой</w:t>
            </w:r>
            <w:r w:rsidRPr="00491457">
              <w:t xml:space="preserve"> переподготовк</w:t>
            </w:r>
            <w:r>
              <w:t>и,</w:t>
            </w:r>
            <w:r w:rsidRPr="00491457">
              <w:t xml:space="preserve"> </w:t>
            </w:r>
            <w:r>
              <w:t>п</w:t>
            </w:r>
            <w:r w:rsidRPr="00491457">
              <w:t>овышение квалификации</w:t>
            </w:r>
            <w:r>
              <w:t xml:space="preserve"> и т.п.</w:t>
            </w:r>
            <w:r w:rsidRPr="00491457">
              <w:t xml:space="preserve"> в части содействия в реализации инвестиционных проектов</w:t>
            </w:r>
          </w:p>
          <w:p w:rsidR="00A66745" w:rsidRPr="00B52AE6" w:rsidRDefault="00A66745" w:rsidP="005775BC">
            <w:pPr>
              <w:pStyle w:val="a3"/>
              <w:spacing w:before="0" w:beforeAutospacing="0" w:after="0" w:afterAutospacing="0" w:line="240" w:lineRule="atLeast"/>
            </w:pPr>
            <w:r>
              <w:rPr>
                <w:i/>
              </w:rPr>
              <w:t>(пункт 15 Приказа)</w:t>
            </w:r>
          </w:p>
        </w:tc>
      </w:tr>
      <w:tr w:rsidR="00A66745" w:rsidRPr="009A73C1" w:rsidTr="00812F67">
        <w:trPr>
          <w:trHeight w:val="374"/>
        </w:trPr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6745" w:rsidRPr="00B52AE6" w:rsidRDefault="00A66745" w:rsidP="005775B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2A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10.</w:t>
            </w:r>
          </w:p>
        </w:tc>
        <w:tc>
          <w:tcPr>
            <w:tcW w:w="6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6745" w:rsidRPr="00B52AE6" w:rsidRDefault="00A66745" w:rsidP="005775BC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52A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Наличие соглашения о сотрудничестве между местной администрацией и агентством развития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6745" w:rsidRPr="00B52AE6" w:rsidRDefault="001646FB" w:rsidP="005775B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имеется</w:t>
            </w:r>
            <w:bookmarkStart w:id="0" w:name="_GoBack"/>
            <w:bookmarkEnd w:id="0"/>
          </w:p>
        </w:tc>
        <w:tc>
          <w:tcPr>
            <w:tcW w:w="6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6745" w:rsidRDefault="00A66745" w:rsidP="005775BC">
            <w:pPr>
              <w:spacing w:after="0" w:line="240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52AE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Соглашение о взаимодействии и сотрудничестве между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местной администрацией и</w:t>
            </w:r>
            <w:r w:rsidRPr="00B52AE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АО </w:t>
            </w:r>
            <w:r w:rsidRPr="00B52AE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«Корпорация развития Кабардино-Балкарской Республики» </w:t>
            </w:r>
            <w:r w:rsidRPr="003C674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номер, </w:t>
            </w:r>
            <w:r w:rsidRPr="003C674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дата заключения)</w:t>
            </w:r>
          </w:p>
          <w:p w:rsidR="00A66745" w:rsidRPr="00A944B5" w:rsidRDefault="00A66745" w:rsidP="005775BC">
            <w:pPr>
              <w:spacing w:after="0" w:line="240" w:lineRule="atLeast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</w:pPr>
            <w:r w:rsidRPr="009A73C1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ru-RU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ru-RU" w:eastAsia="ru-RU"/>
              </w:rPr>
              <w:t>пункт</w:t>
            </w:r>
            <w:r w:rsidRPr="009A73C1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ru-RU"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ru-RU" w:eastAsia="ru-RU"/>
              </w:rPr>
              <w:t>6</w:t>
            </w:r>
            <w:r w:rsidRPr="009A73C1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ru-RU" w:eastAsia="ru-RU"/>
              </w:rPr>
              <w:t xml:space="preserve"> Приказа)</w:t>
            </w:r>
          </w:p>
        </w:tc>
      </w:tr>
    </w:tbl>
    <w:p w:rsidR="008C74F8" w:rsidRDefault="008C74F8"/>
    <w:sectPr w:rsidR="008C74F8" w:rsidSect="00812F67">
      <w:headerReference w:type="default" r:id="rId6"/>
      <w:pgSz w:w="16838" w:h="11906" w:orient="landscape"/>
      <w:pgMar w:top="624" w:right="56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02A" w:rsidRDefault="0000202A" w:rsidP="00812F67">
      <w:pPr>
        <w:spacing w:after="0" w:line="240" w:lineRule="auto"/>
      </w:pPr>
      <w:r>
        <w:separator/>
      </w:r>
    </w:p>
  </w:endnote>
  <w:endnote w:type="continuationSeparator" w:id="0">
    <w:p w:rsidR="0000202A" w:rsidRDefault="0000202A" w:rsidP="00812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02A" w:rsidRDefault="0000202A" w:rsidP="00812F67">
      <w:pPr>
        <w:spacing w:after="0" w:line="240" w:lineRule="auto"/>
      </w:pPr>
      <w:r>
        <w:separator/>
      </w:r>
    </w:p>
  </w:footnote>
  <w:footnote w:type="continuationSeparator" w:id="0">
    <w:p w:rsidR="0000202A" w:rsidRDefault="0000202A" w:rsidP="00812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754241"/>
      <w:docPartObj>
        <w:docPartGallery w:val="Page Numbers (Top of Page)"/>
        <w:docPartUnique/>
      </w:docPartObj>
    </w:sdtPr>
    <w:sdtEndPr/>
    <w:sdtContent>
      <w:p w:rsidR="00812F67" w:rsidRDefault="00812F6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6FB" w:rsidRPr="001646FB">
          <w:rPr>
            <w:noProof/>
            <w:lang w:val="ru-RU"/>
          </w:rPr>
          <w:t>2</w:t>
        </w:r>
        <w:r>
          <w:fldChar w:fldCharType="end"/>
        </w:r>
      </w:p>
    </w:sdtContent>
  </w:sdt>
  <w:p w:rsidR="00812F67" w:rsidRDefault="00812F6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745"/>
    <w:rsid w:val="0000202A"/>
    <w:rsid w:val="001646FB"/>
    <w:rsid w:val="00812F67"/>
    <w:rsid w:val="008C74F8"/>
    <w:rsid w:val="00A6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725C6"/>
  <w15:chartTrackingRefBased/>
  <w15:docId w15:val="{73D71F16-54AB-4F5B-A353-EE5A4D90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745"/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6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66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745"/>
    <w:rPr>
      <w:rFonts w:ascii="Segoe UI" w:eastAsia="Calibri" w:hAnsi="Segoe UI" w:cs="Segoe UI"/>
      <w:color w:val="000000"/>
      <w:sz w:val="18"/>
      <w:szCs w:val="18"/>
      <w:lang w:val="en-US"/>
    </w:rPr>
  </w:style>
  <w:style w:type="paragraph" w:styleId="a6">
    <w:name w:val="header"/>
    <w:basedOn w:val="a"/>
    <w:link w:val="a7"/>
    <w:uiPriority w:val="99"/>
    <w:unhideWhenUsed/>
    <w:rsid w:val="00812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2F67"/>
    <w:rPr>
      <w:rFonts w:ascii="Calibri" w:eastAsia="Calibri" w:hAnsi="Calibri" w:cs="Calibri"/>
      <w:color w:val="000000"/>
      <w:lang w:val="en-US"/>
    </w:rPr>
  </w:style>
  <w:style w:type="paragraph" w:styleId="a8">
    <w:name w:val="footer"/>
    <w:basedOn w:val="a"/>
    <w:link w:val="a9"/>
    <w:uiPriority w:val="99"/>
    <w:unhideWhenUsed/>
    <w:rsid w:val="00812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2F67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2024-10-14T09:45:00Z</cp:lastPrinted>
  <dcterms:created xsi:type="dcterms:W3CDTF">2024-10-14T09:44:00Z</dcterms:created>
  <dcterms:modified xsi:type="dcterms:W3CDTF">2024-11-12T13:35:00Z</dcterms:modified>
</cp:coreProperties>
</file>