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D4D85" w14:textId="77777777" w:rsidR="00AC4ED0" w:rsidRPr="00C34A81" w:rsidRDefault="009E0AA9" w:rsidP="00AC4ED0">
      <w:pPr>
        <w:pStyle w:val="a4"/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</w:pPr>
      <w:r w:rsidRPr="00C34A81">
        <w:rPr>
          <w:rFonts w:cs="Tahom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5683870F" wp14:editId="0EE13753">
            <wp:simplePos x="0" y="0"/>
            <wp:positionH relativeFrom="margin">
              <wp:posOffset>1967230</wp:posOffset>
            </wp:positionH>
            <wp:positionV relativeFrom="paragraph">
              <wp:posOffset>1397</wp:posOffset>
            </wp:positionV>
            <wp:extent cx="2400300" cy="1143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1C5C5" w14:textId="77777777" w:rsidR="00A47E8B" w:rsidRPr="00C34A81" w:rsidRDefault="00A47E8B" w:rsidP="00A47E8B">
      <w:pPr>
        <w:pStyle w:val="a4"/>
        <w:jc w:val="center"/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</w:pPr>
      <w:bookmarkStart w:id="0" w:name="_GoBack"/>
      <w:r w:rsidRPr="00C34A81"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  <w:t>Лесополосы и дороги </w:t>
      </w:r>
    </w:p>
    <w:p w14:paraId="76249899" w14:textId="02B84243" w:rsidR="00A47E8B" w:rsidRPr="00C34A81" w:rsidRDefault="00A47E8B" w:rsidP="00A47E8B">
      <w:pPr>
        <w:pStyle w:val="a4"/>
        <w:jc w:val="center"/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</w:pPr>
      <w:r w:rsidRPr="00C34A81"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  <w:t>входят в состав сель</w:t>
      </w:r>
      <w:r w:rsidR="004F3131"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  <w:t>ско</w:t>
      </w:r>
      <w:r w:rsidRPr="00C34A81"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  <w:t>хоз</w:t>
      </w:r>
      <w:r w:rsidR="004F3131"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  <w:t xml:space="preserve">яйственных </w:t>
      </w:r>
      <w:r w:rsidRPr="00C34A81">
        <w:rPr>
          <w:rStyle w:val="markdown-word"/>
          <w:rFonts w:cs="Tahoma"/>
          <w:b/>
          <w:spacing w:val="3"/>
          <w:sz w:val="36"/>
          <w:szCs w:val="36"/>
          <w:shd w:val="clear" w:color="auto" w:fill="FFFFFF"/>
        </w:rPr>
        <w:t>земель</w:t>
      </w:r>
    </w:p>
    <w:bookmarkEnd w:id="0"/>
    <w:p w14:paraId="7948798F" w14:textId="77777777" w:rsidR="00A47E8B" w:rsidRPr="00C34A81" w:rsidRDefault="00A47E8B" w:rsidP="00A47E8B">
      <w:pPr>
        <w:pStyle w:val="a4"/>
        <w:jc w:val="center"/>
        <w:rPr>
          <w:rStyle w:val="markdown-word"/>
          <w:rFonts w:cs="Tahoma"/>
          <w:b/>
          <w:spacing w:val="3"/>
          <w:sz w:val="32"/>
          <w:szCs w:val="32"/>
          <w:shd w:val="clear" w:color="auto" w:fill="FFFFFF"/>
        </w:rPr>
      </w:pPr>
    </w:p>
    <w:p w14:paraId="36825615" w14:textId="67A8104E" w:rsidR="00A47E8B" w:rsidRPr="00C34A81" w:rsidRDefault="00A47E8B" w:rsidP="00A47E8B">
      <w:pPr>
        <w:pStyle w:val="a4"/>
        <w:jc w:val="both"/>
      </w:pPr>
      <w:r w:rsidRPr="00C34A81">
        <w:t xml:space="preserve">Опираясь на </w:t>
      </w:r>
      <w:hyperlink r:id="rId6" w:history="1">
        <w:r w:rsidR="004F3131">
          <w:rPr>
            <w:rStyle w:val="a5"/>
            <w:color w:val="000000" w:themeColor="text1"/>
            <w:u w:val="none"/>
          </w:rPr>
          <w:t>Земельный кодекс РФ (пункт</w:t>
        </w:r>
        <w:r w:rsidRPr="00C34A81">
          <w:rPr>
            <w:rStyle w:val="a5"/>
            <w:color w:val="000000" w:themeColor="text1"/>
            <w:u w:val="none"/>
          </w:rPr>
          <w:t xml:space="preserve"> 2 ст</w:t>
        </w:r>
        <w:r w:rsidR="004F3131">
          <w:rPr>
            <w:rStyle w:val="a5"/>
            <w:color w:val="000000" w:themeColor="text1"/>
            <w:u w:val="none"/>
          </w:rPr>
          <w:t>атьи</w:t>
        </w:r>
        <w:r w:rsidRPr="00C34A81">
          <w:rPr>
            <w:rStyle w:val="a5"/>
            <w:color w:val="000000" w:themeColor="text1"/>
            <w:u w:val="none"/>
          </w:rPr>
          <w:t xml:space="preserve"> 77)</w:t>
        </w:r>
      </w:hyperlink>
      <w:r w:rsidRPr="00C34A81">
        <w:t>, где прописано, какие земли входят в категорию сельскохозяйственного назначения, можно выделить следующие категории:</w:t>
      </w:r>
    </w:p>
    <w:p w14:paraId="412D4064" w14:textId="77777777" w:rsidR="00A47E8B" w:rsidRPr="00C34A81" w:rsidRDefault="00A47E8B" w:rsidP="00A47E8B">
      <w:pPr>
        <w:pStyle w:val="a4"/>
        <w:jc w:val="both"/>
      </w:pPr>
    </w:p>
    <w:p w14:paraId="000C113A" w14:textId="77777777" w:rsidR="00A47E8B" w:rsidRPr="00C34A81" w:rsidRDefault="00A47E8B" w:rsidP="00C34A81">
      <w:pPr>
        <w:pStyle w:val="a4"/>
        <w:numPr>
          <w:ilvl w:val="0"/>
          <w:numId w:val="26"/>
        </w:numPr>
        <w:jc w:val="both"/>
      </w:pPr>
      <w:r w:rsidRPr="00C34A81">
        <w:t>сельскохозяйственные угодья;</w:t>
      </w:r>
    </w:p>
    <w:p w14:paraId="69FD89D4" w14:textId="77777777" w:rsidR="00A47E8B" w:rsidRPr="00C34A81" w:rsidRDefault="00A47E8B" w:rsidP="00C34A81">
      <w:pPr>
        <w:pStyle w:val="a4"/>
        <w:numPr>
          <w:ilvl w:val="0"/>
          <w:numId w:val="26"/>
        </w:numPr>
        <w:jc w:val="both"/>
      </w:pPr>
      <w:r w:rsidRPr="00C34A81">
        <w:t>земли под внутрихозяйственными дорогами и коммуникациями;</w:t>
      </w:r>
    </w:p>
    <w:p w14:paraId="3E9D66DB" w14:textId="77777777" w:rsidR="00A47E8B" w:rsidRPr="00C34A81" w:rsidRDefault="00A47E8B" w:rsidP="00C34A81">
      <w:pPr>
        <w:pStyle w:val="a4"/>
        <w:numPr>
          <w:ilvl w:val="0"/>
          <w:numId w:val="26"/>
        </w:numPr>
        <w:jc w:val="both"/>
      </w:pPr>
      <w:r w:rsidRPr="00C34A81">
        <w:t xml:space="preserve">участки с </w:t>
      </w:r>
      <w:proofErr w:type="spellStart"/>
      <w:r w:rsidRPr="00C34A81">
        <w:t>агролесомелиоративными</w:t>
      </w:r>
      <w:proofErr w:type="spellEnd"/>
      <w:r w:rsidRPr="00C34A81">
        <w:t xml:space="preserve"> и </w:t>
      </w:r>
      <w:proofErr w:type="spellStart"/>
      <w:r w:rsidRPr="00C34A81">
        <w:t>агрофитомелиоративными</w:t>
      </w:r>
      <w:proofErr w:type="spellEnd"/>
      <w:r w:rsidRPr="00C34A81">
        <w:t xml:space="preserve"> насаждениями (к ним относятся и лесополосы);</w:t>
      </w:r>
    </w:p>
    <w:p w14:paraId="377FA2B2" w14:textId="0B8D1B96" w:rsidR="00A47E8B" w:rsidRPr="00C34A81" w:rsidRDefault="00A47E8B" w:rsidP="00C34A81">
      <w:pPr>
        <w:pStyle w:val="a4"/>
        <w:numPr>
          <w:ilvl w:val="0"/>
          <w:numId w:val="26"/>
        </w:numPr>
        <w:jc w:val="both"/>
      </w:pPr>
      <w:r w:rsidRPr="00C34A81">
        <w:t>территории с водными объектами, объектами капитального строительства и другими сооружениями, связанными с сель</w:t>
      </w:r>
      <w:r w:rsidR="004F3131">
        <w:t>ско</w:t>
      </w:r>
      <w:r w:rsidRPr="00C34A81">
        <w:t>хоз</w:t>
      </w:r>
      <w:r w:rsidR="004F3131">
        <w:t xml:space="preserve">яйственным </w:t>
      </w:r>
      <w:r w:rsidRPr="00C34A81">
        <w:t>производством.</w:t>
      </w:r>
    </w:p>
    <w:p w14:paraId="369156EA" w14:textId="77777777" w:rsidR="00A47E8B" w:rsidRPr="00C34A81" w:rsidRDefault="00A47E8B" w:rsidP="00A47E8B">
      <w:pPr>
        <w:pStyle w:val="a4"/>
        <w:jc w:val="both"/>
      </w:pPr>
    </w:p>
    <w:p w14:paraId="00C01718" w14:textId="0D980ACD" w:rsidR="00A47E8B" w:rsidRPr="00C34A81" w:rsidRDefault="00A47E8B" w:rsidP="00A47E8B">
      <w:pPr>
        <w:pStyle w:val="a4"/>
        <w:jc w:val="both"/>
      </w:pPr>
      <w:r w:rsidRPr="00C34A81">
        <w:t>Из этого следует, что лесополосы и дороги — это составная часть земельн</w:t>
      </w:r>
      <w:r w:rsidR="004F3131">
        <w:t>ых</w:t>
      </w:r>
      <w:r w:rsidRPr="00C34A81">
        <w:t xml:space="preserve"> участк</w:t>
      </w:r>
      <w:r w:rsidR="004F3131">
        <w:t>ов</w:t>
      </w:r>
      <w:r w:rsidRPr="00C34A81">
        <w:t xml:space="preserve"> сельскохозяйственного назначения, а не самостоятельные объекты</w:t>
      </w:r>
      <w:r w:rsidR="004F3131">
        <w:t xml:space="preserve"> недвижимости</w:t>
      </w:r>
      <w:r w:rsidRPr="00C34A81">
        <w:t>.</w:t>
      </w:r>
    </w:p>
    <w:p w14:paraId="64429D27" w14:textId="77777777" w:rsidR="00A47E8B" w:rsidRPr="00C34A81" w:rsidRDefault="00A47E8B" w:rsidP="00A47E8B">
      <w:pPr>
        <w:pStyle w:val="a4"/>
        <w:jc w:val="both"/>
      </w:pPr>
    </w:p>
    <w:p w14:paraId="6A93CC2A" w14:textId="2556090C" w:rsidR="00A47E8B" w:rsidRPr="00C34A81" w:rsidRDefault="00A47E8B" w:rsidP="00A47E8B">
      <w:pPr>
        <w:pStyle w:val="a4"/>
        <w:jc w:val="both"/>
      </w:pPr>
      <w:r w:rsidRPr="00C34A81">
        <w:t>Почему лесополосы и полевые дороги не являются отдельными объектами недвижимости — и почему это может быть важно для владельцев и пользователей земель?</w:t>
      </w:r>
    </w:p>
    <w:p w14:paraId="430C5B3F" w14:textId="77777777" w:rsidR="00A47E8B" w:rsidRPr="00C34A81" w:rsidRDefault="00A47E8B" w:rsidP="00A47E8B">
      <w:pPr>
        <w:pStyle w:val="a4"/>
        <w:jc w:val="both"/>
      </w:pPr>
    </w:p>
    <w:p w14:paraId="4C15609E" w14:textId="6F26515B" w:rsidR="00A47E8B" w:rsidRPr="00C34A81" w:rsidRDefault="00A47E8B" w:rsidP="00A47E8B">
      <w:pPr>
        <w:pStyle w:val="a4"/>
        <w:jc w:val="both"/>
      </w:pPr>
      <w:r w:rsidRPr="00C34A81">
        <w:t>Лесополосы и полевые дороги, расположенные на землях сельскохозяйственного назначения созданы для улучшения условий сельскохозяйственного производства, поэтому не выделяются как самостоятельные объекты недвижимости. То есть их нельзя поставить на</w:t>
      </w:r>
      <w:r w:rsidR="004F3131">
        <w:t xml:space="preserve"> государственный</w:t>
      </w:r>
      <w:r w:rsidRPr="00C34A81">
        <w:t xml:space="preserve"> кадастровый учёт отдельно от земельного участка.</w:t>
      </w:r>
    </w:p>
    <w:p w14:paraId="6B287A58" w14:textId="77777777" w:rsidR="00A47E8B" w:rsidRPr="00C34A81" w:rsidRDefault="00A47E8B" w:rsidP="00A47E8B">
      <w:pPr>
        <w:pStyle w:val="a4"/>
        <w:jc w:val="both"/>
      </w:pPr>
    </w:p>
    <w:p w14:paraId="0AEA5FDC" w14:textId="77777777" w:rsidR="00A47E8B" w:rsidRPr="00C34A81" w:rsidRDefault="00A47E8B" w:rsidP="00A47E8B">
      <w:pPr>
        <w:pStyle w:val="a4"/>
        <w:jc w:val="both"/>
        <w:rPr>
          <w:b/>
        </w:rPr>
      </w:pPr>
      <w:r w:rsidRPr="00C34A81">
        <w:rPr>
          <w:b/>
        </w:rPr>
        <w:t>Что это значит на практике?</w:t>
      </w:r>
    </w:p>
    <w:p w14:paraId="5C6C1EF6" w14:textId="77777777" w:rsidR="00A47E8B" w:rsidRPr="00C34A81" w:rsidRDefault="00A47E8B" w:rsidP="00A47E8B">
      <w:pPr>
        <w:pStyle w:val="a4"/>
        <w:jc w:val="both"/>
      </w:pPr>
    </w:p>
    <w:p w14:paraId="3AECAB5E" w14:textId="6361209F" w:rsidR="00A47E8B" w:rsidRPr="00C34A81" w:rsidRDefault="00A47E8B" w:rsidP="00A47E8B">
      <w:pPr>
        <w:pStyle w:val="a4"/>
        <w:jc w:val="both"/>
      </w:pPr>
      <w:r w:rsidRPr="00C34A81">
        <w:t>При оформлении прав на землю. Лесополосы и полевые дороги не нужно отдельно регистрировать в ЕГРН. Они автоматически входят в состав</w:t>
      </w:r>
      <w:r w:rsidR="004F3131">
        <w:t xml:space="preserve"> земельных</w:t>
      </w:r>
      <w:r w:rsidRPr="00C34A81">
        <w:t xml:space="preserve"> участк</w:t>
      </w:r>
      <w:r w:rsidR="004F3131">
        <w:t>ов</w:t>
      </w:r>
      <w:r w:rsidRPr="00C34A81">
        <w:t>.</w:t>
      </w:r>
    </w:p>
    <w:p w14:paraId="2477137C" w14:textId="77777777" w:rsidR="00A47E8B" w:rsidRPr="00C34A81" w:rsidRDefault="00A47E8B" w:rsidP="00A47E8B">
      <w:pPr>
        <w:pStyle w:val="a4"/>
        <w:jc w:val="both"/>
      </w:pPr>
    </w:p>
    <w:p w14:paraId="073349D4" w14:textId="2126311E" w:rsidR="00A47E8B" w:rsidRPr="00C34A81" w:rsidRDefault="00A47E8B" w:rsidP="00C34A81">
      <w:pPr>
        <w:pStyle w:val="a4"/>
        <w:numPr>
          <w:ilvl w:val="0"/>
          <w:numId w:val="27"/>
        </w:numPr>
        <w:jc w:val="both"/>
      </w:pPr>
      <w:r w:rsidRPr="00C34A81">
        <w:t>При сделках</w:t>
      </w:r>
      <w:r w:rsidR="00137ADB">
        <w:t xml:space="preserve"> (договора аренды, договора купли-продажи)</w:t>
      </w:r>
      <w:r w:rsidRPr="00C34A81">
        <w:t>. Если вы продаёте, арендуете или передаёте участок, лесополосы и дороги переходят новому владельцу вместе с ним — как неотъемлемая часть.</w:t>
      </w:r>
    </w:p>
    <w:p w14:paraId="0C9FFAB6" w14:textId="7F18CD23" w:rsidR="00A47E8B" w:rsidRPr="00C34A81" w:rsidRDefault="00A47E8B" w:rsidP="00C34A81">
      <w:pPr>
        <w:pStyle w:val="a4"/>
        <w:numPr>
          <w:ilvl w:val="0"/>
          <w:numId w:val="27"/>
        </w:numPr>
        <w:jc w:val="both"/>
      </w:pPr>
      <w:r w:rsidRPr="00C34A81">
        <w:t xml:space="preserve">При </w:t>
      </w:r>
      <w:r w:rsidR="00137ADB">
        <w:t>кадастровых работах</w:t>
      </w:r>
      <w:r w:rsidRPr="00C34A81">
        <w:t>. При установлении границ участка эти элементы учитываются в его общей площади. Выделить их в отдельные</w:t>
      </w:r>
      <w:r w:rsidR="00137ADB">
        <w:t xml:space="preserve"> земельные</w:t>
      </w:r>
      <w:r w:rsidRPr="00C34A81">
        <w:t xml:space="preserve"> участки нельзя.</w:t>
      </w:r>
    </w:p>
    <w:p w14:paraId="73844F9C" w14:textId="3D65D5A5" w:rsidR="00A47E8B" w:rsidRPr="00C34A81" w:rsidRDefault="00A47E8B" w:rsidP="00C34A81">
      <w:pPr>
        <w:pStyle w:val="a4"/>
        <w:numPr>
          <w:ilvl w:val="0"/>
          <w:numId w:val="27"/>
        </w:numPr>
        <w:jc w:val="both"/>
      </w:pPr>
      <w:r w:rsidRPr="00C34A81">
        <w:t>При налогообложении. Налоговая база рассчитывается по всему</w:t>
      </w:r>
      <w:r w:rsidR="00137ADB">
        <w:t xml:space="preserve"> земельному</w:t>
      </w:r>
      <w:r w:rsidRPr="00C34A81">
        <w:t xml:space="preserve"> участку, без выделения стоимости лесополос или дорог.</w:t>
      </w:r>
    </w:p>
    <w:p w14:paraId="3086C25D" w14:textId="28C685FA" w:rsidR="00A47E8B" w:rsidRPr="00C34A81" w:rsidRDefault="00A47E8B" w:rsidP="00C34A81">
      <w:pPr>
        <w:pStyle w:val="a4"/>
        <w:numPr>
          <w:ilvl w:val="0"/>
          <w:numId w:val="27"/>
        </w:numPr>
        <w:jc w:val="both"/>
      </w:pPr>
      <w:r w:rsidRPr="00C34A81">
        <w:t>При использовании земли. Владелец обязан соблюдать правила использования сель</w:t>
      </w:r>
      <w:r w:rsidR="00137ADB">
        <w:t>ско</w:t>
      </w:r>
      <w:r w:rsidRPr="00C34A81">
        <w:t>хоз</w:t>
      </w:r>
      <w:r w:rsidR="00137ADB">
        <w:t xml:space="preserve">яйственных </w:t>
      </w:r>
      <w:r w:rsidRPr="00C34A81">
        <w:t>земель — например, не допускать зарастания лесополос сорными растениями или разрушения дорог, если они нужны для сельскохозяйственных работ.</w:t>
      </w:r>
    </w:p>
    <w:p w14:paraId="4BFD548A" w14:textId="630E845C" w:rsidR="009E0AA9" w:rsidRPr="00C34A81" w:rsidRDefault="009E0AA9" w:rsidP="00137ADB">
      <w:pPr>
        <w:pStyle w:val="docdata"/>
        <w:spacing w:before="0" w:beforeAutospacing="0" w:after="0" w:afterAutospacing="0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6AD9C6D3" w14:textId="77777777" w:rsidR="00A47E8B" w:rsidRPr="00C34A81" w:rsidRDefault="00A47E8B" w:rsidP="009E0AA9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50A104DA" w14:textId="33BCBE35" w:rsidR="009E0AA9" w:rsidRPr="00C34A81" w:rsidRDefault="009E0AA9" w:rsidP="009E0AA9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C34A81">
        <w:rPr>
          <w:rFonts w:ascii="Tahoma" w:hAnsi="Tahoma" w:cs="Tahoma"/>
          <w:i/>
          <w:color w:val="000000" w:themeColor="text1"/>
          <w:sz w:val="18"/>
          <w:szCs w:val="18"/>
        </w:rPr>
        <w:t>Мельникова Н.А.</w:t>
      </w:r>
    </w:p>
    <w:p w14:paraId="4C440D6A" w14:textId="77777777" w:rsidR="009E0AA9" w:rsidRPr="00C34A81" w:rsidRDefault="009E0AA9" w:rsidP="009E0AA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C34A81">
        <w:rPr>
          <w:rFonts w:ascii="Tahoma" w:hAnsi="Tahoma" w:cs="Tahoma"/>
          <w:i/>
          <w:iCs/>
          <w:color w:val="000000" w:themeColor="text1"/>
          <w:sz w:val="18"/>
          <w:szCs w:val="18"/>
        </w:rPr>
        <w:t>Компания "Региональный кадастровый центр"</w:t>
      </w:r>
    </w:p>
    <w:p w14:paraId="0B963C34" w14:textId="66368450" w:rsidR="009E0AA9" w:rsidRPr="00137ADB" w:rsidRDefault="009E0AA9" w:rsidP="00137ADB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C34A81">
        <w:rPr>
          <w:rFonts w:ascii="Tahoma" w:hAnsi="Tahoma" w:cs="Tahoma"/>
          <w:i/>
          <w:iCs/>
          <w:color w:val="000000" w:themeColor="text1"/>
          <w:sz w:val="18"/>
          <w:szCs w:val="18"/>
        </w:rPr>
        <w:t>г. Оренбург</w:t>
      </w:r>
    </w:p>
    <w:sectPr w:rsidR="009E0AA9" w:rsidRPr="00137ADB" w:rsidSect="009F48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1FA815" w16cid:durableId="2D8CD4AA"/>
  <w16cid:commentId w16cid:paraId="2864CFF0" w16cid:durableId="2D8CD508"/>
  <w16cid:commentId w16cid:paraId="2FB7D9F2" w16cid:durableId="2D8CD552"/>
  <w16cid:commentId w16cid:paraId="3C52F624" w16cid:durableId="2D8CD58B"/>
  <w16cid:commentId w16cid:paraId="1CD51557" w16cid:durableId="2D8CD5AA"/>
  <w16cid:commentId w16cid:paraId="77F7BEE1" w16cid:durableId="2D8CD5CE"/>
  <w16cid:commentId w16cid:paraId="6EB3CE6B" w16cid:durableId="2D8CD5ED"/>
  <w16cid:commentId w16cid:paraId="21F3FF20" w16cid:durableId="2D8CD617"/>
  <w16cid:commentId w16cid:paraId="6A0A2EF9" w16cid:durableId="2D8CD635"/>
  <w16cid:commentId w16cid:paraId="7EB2ECE0" w16cid:durableId="2D8CD653"/>
  <w16cid:commentId w16cid:paraId="057057B1" w16cid:durableId="2D8CD662"/>
  <w16cid:commentId w16cid:paraId="48178088" w16cid:durableId="2D8CD67B"/>
  <w16cid:commentId w16cid:paraId="5B940B04" w16cid:durableId="2D8CD6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DD5"/>
    <w:multiLevelType w:val="hybridMultilevel"/>
    <w:tmpl w:val="CE2AB940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76A5"/>
    <w:multiLevelType w:val="hybridMultilevel"/>
    <w:tmpl w:val="EE6C2A52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9E9"/>
    <w:multiLevelType w:val="hybridMultilevel"/>
    <w:tmpl w:val="D5D4CB7E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01B2"/>
    <w:multiLevelType w:val="hybridMultilevel"/>
    <w:tmpl w:val="7764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2B49"/>
    <w:multiLevelType w:val="hybridMultilevel"/>
    <w:tmpl w:val="B95A5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1390E"/>
    <w:multiLevelType w:val="hybridMultilevel"/>
    <w:tmpl w:val="24F8AABC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D28DE"/>
    <w:multiLevelType w:val="hybridMultilevel"/>
    <w:tmpl w:val="2002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7205D"/>
    <w:multiLevelType w:val="hybridMultilevel"/>
    <w:tmpl w:val="8A58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4610"/>
    <w:multiLevelType w:val="hybridMultilevel"/>
    <w:tmpl w:val="0EDE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0D78"/>
    <w:multiLevelType w:val="hybridMultilevel"/>
    <w:tmpl w:val="EF6EE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5A29"/>
    <w:multiLevelType w:val="multilevel"/>
    <w:tmpl w:val="3B82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07F74"/>
    <w:multiLevelType w:val="hybridMultilevel"/>
    <w:tmpl w:val="C9764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3619"/>
    <w:multiLevelType w:val="hybridMultilevel"/>
    <w:tmpl w:val="1EB8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14B4"/>
    <w:multiLevelType w:val="hybridMultilevel"/>
    <w:tmpl w:val="FF9C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31CA4"/>
    <w:multiLevelType w:val="hybridMultilevel"/>
    <w:tmpl w:val="FEA00EDC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6D65"/>
    <w:multiLevelType w:val="hybridMultilevel"/>
    <w:tmpl w:val="381A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1792A"/>
    <w:multiLevelType w:val="hybridMultilevel"/>
    <w:tmpl w:val="047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522F4"/>
    <w:multiLevelType w:val="hybridMultilevel"/>
    <w:tmpl w:val="58E6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459E5"/>
    <w:multiLevelType w:val="hybridMultilevel"/>
    <w:tmpl w:val="FA4AA090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82372"/>
    <w:multiLevelType w:val="multilevel"/>
    <w:tmpl w:val="07FE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36CA8"/>
    <w:multiLevelType w:val="hybridMultilevel"/>
    <w:tmpl w:val="502630AC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74EC2"/>
    <w:multiLevelType w:val="multilevel"/>
    <w:tmpl w:val="829A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E753E"/>
    <w:multiLevelType w:val="hybridMultilevel"/>
    <w:tmpl w:val="2EEC9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95B2B"/>
    <w:multiLevelType w:val="multilevel"/>
    <w:tmpl w:val="8470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295381"/>
    <w:multiLevelType w:val="hybridMultilevel"/>
    <w:tmpl w:val="6AB0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40C0B"/>
    <w:multiLevelType w:val="multilevel"/>
    <w:tmpl w:val="7B94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2517D"/>
    <w:multiLevelType w:val="hybridMultilevel"/>
    <w:tmpl w:val="DB446C38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9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2"/>
  </w:num>
  <w:num w:numId="12">
    <w:abstractNumId w:val="12"/>
  </w:num>
  <w:num w:numId="13">
    <w:abstractNumId w:val="15"/>
  </w:num>
  <w:num w:numId="14">
    <w:abstractNumId w:val="6"/>
  </w:num>
  <w:num w:numId="15">
    <w:abstractNumId w:val="13"/>
  </w:num>
  <w:num w:numId="16">
    <w:abstractNumId w:val="24"/>
  </w:num>
  <w:num w:numId="17">
    <w:abstractNumId w:val="0"/>
  </w:num>
  <w:num w:numId="18">
    <w:abstractNumId w:val="20"/>
  </w:num>
  <w:num w:numId="19">
    <w:abstractNumId w:val="5"/>
  </w:num>
  <w:num w:numId="20">
    <w:abstractNumId w:val="1"/>
  </w:num>
  <w:num w:numId="21">
    <w:abstractNumId w:val="26"/>
  </w:num>
  <w:num w:numId="22">
    <w:abstractNumId w:val="18"/>
  </w:num>
  <w:num w:numId="23">
    <w:abstractNumId w:val="17"/>
  </w:num>
  <w:num w:numId="24">
    <w:abstractNumId w:val="11"/>
  </w:num>
  <w:num w:numId="25">
    <w:abstractNumId w:val="16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6C"/>
    <w:rsid w:val="00137ADB"/>
    <w:rsid w:val="0015063D"/>
    <w:rsid w:val="00443F19"/>
    <w:rsid w:val="004F3131"/>
    <w:rsid w:val="00606B6C"/>
    <w:rsid w:val="00727EF8"/>
    <w:rsid w:val="00904589"/>
    <w:rsid w:val="009E0AA9"/>
    <w:rsid w:val="009F48D2"/>
    <w:rsid w:val="00A47E8B"/>
    <w:rsid w:val="00AC4ED0"/>
    <w:rsid w:val="00C34A81"/>
    <w:rsid w:val="00CB0326"/>
    <w:rsid w:val="00D71591"/>
    <w:rsid w:val="00E2497C"/>
    <w:rsid w:val="00E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95D3"/>
  <w15:chartTrackingRefBased/>
  <w15:docId w15:val="{C39C9E7A-BE8E-4756-806C-C23E1E0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6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6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606B6C"/>
  </w:style>
  <w:style w:type="paragraph" w:styleId="a3">
    <w:name w:val="Normal (Web)"/>
    <w:basedOn w:val="a"/>
    <w:uiPriority w:val="99"/>
    <w:unhideWhenUsed/>
    <w:rsid w:val="0060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No Spacing"/>
    <w:uiPriority w:val="1"/>
    <w:qFormat/>
    <w:rsid w:val="00606B6C"/>
    <w:pPr>
      <w:spacing w:after="0" w:line="240" w:lineRule="auto"/>
    </w:pPr>
  </w:style>
  <w:style w:type="paragraph" w:customStyle="1" w:styleId="docdata">
    <w:name w:val="docdata"/>
    <w:aliases w:val="docy,v5,2041,bqiaagaaeyqcaaagiaiaaangbwaabw4haaaaaaaaaaaaaaaaaaaaaaaaaaaaaaaaaaaaaaaaaaaaaaaaaaaaaaaaaaaaaaaaaaaaaaaaaaaaaaaaaaaaaaaaaaaaaaaaaaaaaaaaaaaaaaaaaaaaaaaaaaaaaaaaaaaaaaaaaaaaaaaaaaaaaaaaaaaaaaaaaaaaaaaaaaaaaaaaaaaaaaaaaaaaaaaaaaaaaaaa"/>
    <w:basedOn w:val="a"/>
    <w:rsid w:val="009E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AC4ED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45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5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458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5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458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4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c56.ru/documents/463?shortcut=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Мельникова</dc:creator>
  <cp:keywords/>
  <dc:description/>
  <cp:lastModifiedBy>LERA</cp:lastModifiedBy>
  <cp:revision>2</cp:revision>
  <dcterms:created xsi:type="dcterms:W3CDTF">2026-04-30T05:39:00Z</dcterms:created>
  <dcterms:modified xsi:type="dcterms:W3CDTF">2026-04-30T05:39:00Z</dcterms:modified>
</cp:coreProperties>
</file>